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D6B4F"/>
        </w:rPr>
        <w:t>Bảng ngưỡng chỉ số có nguồn</w:t>
      </w:r>
    </w:p>
    <w:p>
      <w:r>
        <w:t>Ngưỡng chấp nhận các chỉ số trong luận văn định lượng, mỗi ngưỡng kèm nguồn gốc. Cùng dữ liệu với trang https://gocnghiencuu.com/nguong-chap-nhan/ (cập nhật 2026-10-30).</w:t>
      </w:r>
    </w:p>
    <w:p>
      <w:pPr>
        <w:pStyle w:val="Heading1"/>
      </w:pPr>
      <w:r>
        <w:t>Độ tin cậy: Cronbach's alpha, CR, ρA, omega bao nhiêu là đạt?</w:t>
      </w:r>
    </w:p>
    <w:p>
      <w:r>
        <w:t>Cronbach's alpha, độ tin cậy tổng hợp (CR) và ρA cùng dùng một bộ mốc: tối thiểu 0,70, chấp nhận 0,60–0,70 trong nghiên cứu khám phá, tốt nhất 0,80–0,90, và trên 0,95 là đáng ngờ vì các biến gần như lặp lại nhau. Tương quan biến–tổng hiệu chỉnh từ 0,30 trở lên là quy ước, không có nguồn gốc thống kê chặt.</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Chỉ số</w:t>
            </w:r>
          </w:p>
        </w:tc>
        <w:tc>
          <w:tcPr>
            <w:tcW w:type="dxa" w:w="2880"/>
          </w:tcPr>
          <w:p>
            <w:r/>
            <w:r>
              <w:rPr>
                <w:b/>
              </w:rPr>
              <w:t>Ngưỡng</w:t>
            </w:r>
          </w:p>
        </w:tc>
        <w:tc>
          <w:tcPr>
            <w:tcW w:type="dxa" w:w="2880"/>
          </w:tcPr>
          <w:p>
            <w:r/>
            <w:r>
              <w:rPr>
                <w:b/>
              </w:rPr>
              <w:t>Nguồn</w:t>
            </w:r>
          </w:p>
        </w:tc>
      </w:tr>
      <w:tr>
        <w:tc>
          <w:tcPr>
            <w:tcW w:type="dxa" w:w="2880"/>
          </w:tcPr>
          <w:p>
            <w:r>
              <w:t>Cronbach's alpha (α)</w:t>
            </w:r>
          </w:p>
        </w:tc>
        <w:tc>
          <w:tcPr>
            <w:tcW w:type="dxa" w:w="2880"/>
          </w:tcPr>
          <w:p>
            <w:r>
              <w:t>≥ 0,70; 0,60–0,70 chấp nhận được trong nghiên cứu khám phá; 0,70–0,90 từ đạt đến tốt; ≥ 0,95 có vấn đề (biến trùng lặp, trả lời một kiểu)</w:t>
            </w:r>
          </w:p>
        </w:tc>
        <w:tc>
          <w:tcPr>
            <w:tcW w:type="dxa" w:w="2880"/>
          </w:tcPr>
          <w:p>
            <w:r>
              <w:t>Hair và cộng sự (2021); Hair và cộng sự (2019); Lance và cộng sự (2006)</w:t>
            </w:r>
          </w:p>
        </w:tc>
      </w:tr>
      <w:tr>
        <w:tc>
          <w:tcPr>
            <w:tcW w:type="dxa" w:w="2880"/>
          </w:tcPr>
          <w:p>
            <w:r>
              <w:t>Tương quan biến–tổng hiệu chỉnh (corrected item-total correlation)</w:t>
            </w:r>
          </w:p>
        </w:tc>
        <w:tc>
          <w:tcPr>
            <w:tcW w:type="dxa" w:w="2880"/>
          </w:tcPr>
          <w:p>
            <w:r>
              <w:t>≥ 0,30 (quy ước); giá trị âm gần như luôn là biến đảo chiều chưa mã hoá ngược</w:t>
            </w:r>
          </w:p>
        </w:tc>
        <w:tc>
          <w:tcPr>
            <w:tcW w:type="dxa" w:w="2880"/>
          </w:tcPr>
          <w:p>
            <w:r>
              <w:t>Quy ước</w:t>
            </w:r>
          </w:p>
        </w:tc>
      </w:tr>
      <w:tr>
        <w:tc>
          <w:tcPr>
            <w:tcW w:type="dxa" w:w="2880"/>
          </w:tcPr>
          <w:p>
            <w:r>
              <w:t>Độ tin cậy tổng hợp (CR, ρc)</w:t>
            </w:r>
          </w:p>
        </w:tc>
        <w:tc>
          <w:tcPr>
            <w:tcW w:type="dxa" w:w="2880"/>
          </w:tcPr>
          <w:p>
            <w:r>
              <w:t>≥ 0,70 (0,60 trong nghiên cứu khám phá); khuyến nghị 0,80–0,90; tối đa 0,95. Bagozzi &amp; Yi (1988) dùng mốc ≥ 0,60</w:t>
            </w:r>
          </w:p>
        </w:tc>
        <w:tc>
          <w:tcPr>
            <w:tcW w:type="dxa" w:w="2880"/>
          </w:tcPr>
          <w:p>
            <w:r>
              <w:t>Hair và cộng sự (2021); Hair và cộng sự (2019); Bagozzi &amp; Yi (1988)</w:t>
            </w:r>
          </w:p>
        </w:tc>
      </w:tr>
      <w:tr>
        <w:tc>
          <w:tcPr>
            <w:tcW w:type="dxa" w:w="2880"/>
          </w:tcPr>
          <w:p>
            <w:r>
              <w:t>ρA (Dijkstra–Henseler)</w:t>
            </w:r>
          </w:p>
        </w:tc>
        <w:tc>
          <w:tcPr>
            <w:tcW w:type="dxa" w:w="2880"/>
          </w:tcPr>
          <w:p>
            <w:r>
              <w:t>Cùng mốc với CR: ≥ 0,70, tối đa 0,95; giá trị thường nằm giữa α (cận dưới) và ρc (cận trên)</w:t>
            </w:r>
          </w:p>
        </w:tc>
        <w:tc>
          <w:tcPr>
            <w:tcW w:type="dxa" w:w="2880"/>
          </w:tcPr>
          <w:p>
            <w:r>
              <w:t>Dijkstra &amp; Henseler (2015); Hair và cộng sự (2021)</w:t>
            </w:r>
          </w:p>
        </w:tc>
      </w:tr>
      <w:tr>
        <w:tc>
          <w:tcPr>
            <w:tcW w:type="dxa" w:w="2880"/>
          </w:tcPr>
          <w:p>
            <w:r>
              <w:t>McDonald's omega (ω)</w:t>
            </w:r>
          </w:p>
        </w:tc>
        <w:tc>
          <w:tcPr>
            <w:tcW w:type="dxa" w:w="2880"/>
          </w:tcPr>
          <w:p>
            <w:r>
              <w:t>Không có ngưỡng riêng; thực hành áp dụng cùng mốc với alpha (≥ 0,70)</w:t>
            </w:r>
          </w:p>
        </w:tc>
        <w:tc>
          <w:tcPr>
            <w:tcW w:type="dxa" w:w="2880"/>
          </w:tcPr>
          <w:p>
            <w:r>
              <w:t>McNeish (2018); Hayes &amp; Coutts (2020)</w:t>
            </w:r>
          </w:p>
        </w:tc>
      </w:tr>
    </w:tbl>
    <w:p>
      <w:pPr>
        <w:pStyle w:val="Heading1"/>
      </w:pPr>
      <w:r>
        <w:t>EFA: KMO, Bartlett, hệ số tải, phương sai trích bao nhiêu là đạt?</w:t>
      </w:r>
    </w:p>
    <w:p>
      <w:r>
        <w:t>Trong EFA, KMO tối thiểu 0,50 (từ 0,80 là tốt), kiểm định Bartlett có p  1. Mốc phương sai trích 50% là quy ước trong tài liệu tiếng Việt.</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Chỉ số</w:t>
            </w:r>
          </w:p>
        </w:tc>
        <w:tc>
          <w:tcPr>
            <w:tcW w:type="dxa" w:w="2880"/>
          </w:tcPr>
          <w:p>
            <w:r/>
            <w:r>
              <w:rPr>
                <w:b/>
              </w:rPr>
              <w:t>Ngưỡng</w:t>
            </w:r>
          </w:p>
        </w:tc>
        <w:tc>
          <w:tcPr>
            <w:tcW w:type="dxa" w:w="2880"/>
          </w:tcPr>
          <w:p>
            <w:r/>
            <w:r>
              <w:rPr>
                <w:b/>
              </w:rPr>
              <w:t>Nguồn</w:t>
            </w:r>
          </w:p>
        </w:tc>
      </w:tr>
      <w:tr>
        <w:tc>
          <w:tcPr>
            <w:tcW w:type="dxa" w:w="2880"/>
          </w:tcPr>
          <w:p>
            <w:r>
              <w:t>KMO (Kaiser–Meyer–Olkin)</w:t>
            </w:r>
          </w:p>
        </w:tc>
        <w:tc>
          <w:tcPr>
            <w:tcW w:type="dxa" w:w="2880"/>
          </w:tcPr>
          <w:p>
            <w:r>
              <w:t>≥ 0,50 tối thiểu. Thang của Kaiser: ≥ 0,90 tuyệt vời (marvelous), 0,80–0,89 rất tốt, 0,70–0,79 khá, 0,60–0,69 tầm thường, 0,50–0,59 kém, &lt; 0,50 không chấp nhận</w:t>
            </w:r>
          </w:p>
        </w:tc>
        <w:tc>
          <w:tcPr>
            <w:tcW w:type="dxa" w:w="2880"/>
          </w:tcPr>
          <w:p>
            <w:r>
              <w:t>Kaiser (1974); Kaiser &amp; Rice (1974)</w:t>
            </w:r>
          </w:p>
        </w:tc>
      </w:tr>
      <w:tr>
        <w:tc>
          <w:tcPr>
            <w:tcW w:type="dxa" w:w="2880"/>
          </w:tcPr>
          <w:p>
            <w:r>
              <w:t>Kiểm định Bartlett (sphericity)</w:t>
            </w:r>
          </w:p>
        </w:tc>
        <w:tc>
          <w:tcPr>
            <w:tcW w:type="dxa" w:w="2880"/>
          </w:tcPr>
          <w:p>
            <w:r>
              <w:t>p &lt; 0,05 (ma trận tương quan khác ma trận đơn vị, đủ tương quan để phân tích nhân tố)</w:t>
            </w:r>
          </w:p>
        </w:tc>
        <w:tc>
          <w:tcPr>
            <w:tcW w:type="dxa" w:w="2880"/>
          </w:tcPr>
          <w:p>
            <w:r>
              <w:t>Bartlett (1950)</w:t>
            </w:r>
          </w:p>
        </w:tc>
      </w:tr>
      <w:tr>
        <w:tc>
          <w:tcPr>
            <w:tcW w:type="dxa" w:w="2880"/>
          </w:tcPr>
          <w:p>
            <w:r>
              <w:t>Communality (hệ số chung)</w:t>
            </w:r>
          </w:p>
        </w:tc>
        <w:tc>
          <w:tcPr>
            <w:tcW w:type="dxa" w:w="2880"/>
          </w:tcPr>
          <w:p>
            <w:r>
              <w:t>Thường 0,40–0,70 trong khoa học xã hội; &lt; 0,40 thì xem lại biến; ≥ 0,80 được coi là cao nhưng hiếm</w:t>
            </w:r>
          </w:p>
        </w:tc>
        <w:tc>
          <w:tcPr>
            <w:tcW w:type="dxa" w:w="2880"/>
          </w:tcPr>
          <w:p>
            <w:r>
              <w:t>Costello &amp; Osborne (2005)</w:t>
            </w:r>
          </w:p>
        </w:tc>
      </w:tr>
      <w:tr>
        <w:tc>
          <w:tcPr>
            <w:tcW w:type="dxa" w:w="2880"/>
          </w:tcPr>
          <w:p>
            <w:r>
              <w:t>Hệ số tải nhân tố theo cỡ mẫu</w:t>
            </w:r>
          </w:p>
        </w:tc>
        <w:tc>
          <w:tcPr>
            <w:tcW w:type="dxa" w:w="2880"/>
          </w:tcPr>
          <w:p>
            <w:r>
              <w:t>0,30 (n ≥ 350) · 0,35 (250) · 0,40 (200) · 0,45 (150) · 0,50 (120) · 0,55 (100) · 0,60 (85) · 0,65 (70) · 0,70 (60) · 0,75 (50)</w:t>
            </w:r>
          </w:p>
        </w:tc>
        <w:tc>
          <w:tcPr>
            <w:tcW w:type="dxa" w:w="2880"/>
          </w:tcPr>
          <w:p>
            <w:r>
              <w:t>Hair và cộng sự (1998)</w:t>
            </w:r>
          </w:p>
        </w:tc>
      </w:tr>
      <w:tr>
        <w:tc>
          <w:tcPr>
            <w:tcW w:type="dxa" w:w="2880"/>
          </w:tcPr>
          <w:p>
            <w:r>
              <w:t>Tổng phương sai trích (total variance explained)</w:t>
            </w:r>
          </w:p>
        </w:tc>
        <w:tc>
          <w:tcPr>
            <w:tcW w:type="dxa" w:w="2880"/>
          </w:tcPr>
          <w:p>
            <w:r>
              <w:t>Hair và cộng sự coi khoảng 60% là thoả đáng trong khoa học xã hội, có khi thấp hơn; tài liệu tiếng Việt thường dùng mốc ≥ 50%</w:t>
            </w:r>
          </w:p>
        </w:tc>
        <w:tc>
          <w:tcPr>
            <w:tcW w:type="dxa" w:w="2880"/>
          </w:tcPr>
          <w:p>
            <w:r>
              <w:t>Hair và cộng sự (1998)</w:t>
            </w:r>
          </w:p>
        </w:tc>
      </w:tr>
      <w:tr>
        <w:tc>
          <w:tcPr>
            <w:tcW w:type="dxa" w:w="2880"/>
          </w:tcPr>
          <w:p>
            <w:r>
              <w:t>Số nhân tố: eigenvalue và parallel analysis</w:t>
            </w:r>
          </w:p>
        </w:tc>
        <w:tc>
          <w:tcPr>
            <w:tcW w:type="dxa" w:w="2880"/>
          </w:tcPr>
          <w:p>
            <w:r>
              <w:t>Eigenvalue &gt; 1 (Kaiser, 1960) là mặc định của SPSS nhưng thường giữ thừa nhân tố; nên giữ nhân tố có eigenvalue thực lớn hơn eigenvalue từ dữ liệu ngẫu nhiên cùng kích thước (parallel analysis, Horn, 1965)</w:t>
            </w:r>
          </w:p>
        </w:tc>
        <w:tc>
          <w:tcPr>
            <w:tcW w:type="dxa" w:w="2880"/>
          </w:tcPr>
          <w:p>
            <w:r>
              <w:t>Kaiser (1960); Horn (1965); Zwick &amp; Velicer (1986); Lance và cộng sự (2006)</w:t>
            </w:r>
          </w:p>
        </w:tc>
      </w:tr>
      <w:tr>
        <w:tc>
          <w:tcPr>
            <w:tcW w:type="dxa" w:w="2880"/>
          </w:tcPr>
          <w:p>
            <w:r>
              <w:t>Tải chéo (cross-loading)</w:t>
            </w:r>
          </w:p>
        </w:tc>
        <w:tc>
          <w:tcPr>
            <w:tcW w:type="dxa" w:w="2880"/>
          </w:tcPr>
          <w:p>
            <w:r>
              <w:t>Biến tải ≥ 0,32 lên từ hai nhân tố trở lên là tải chéo. Quy ước trong tài liệu tiếng Việt: chênh lệch hai hệ số tải &lt; 0,30 thì cân nhắc loại</w:t>
            </w:r>
          </w:p>
        </w:tc>
        <w:tc>
          <w:tcPr>
            <w:tcW w:type="dxa" w:w="2880"/>
          </w:tcPr>
          <w:p>
            <w:r>
              <w:t>Costello &amp; Osborne (2005)</w:t>
            </w:r>
          </w:p>
        </w:tc>
      </w:tr>
    </w:tbl>
    <w:p>
      <w:pPr>
        <w:pStyle w:val="Heading1"/>
      </w:pPr>
      <w:r>
        <w:t>CFA, CB-SEM: CFI, TLI, RMSEA, SRMR bao nhiêu là mô hình phù hợp?</w:t>
      </w:r>
    </w:p>
    <w:p>
      <w:r>
        <w:t>Hu &amp; Bentler (1999) đề xuất CFI và TLI gần 0,95, RMSEA gần 0,06 và SRMR gần 0,08. Mốc 0,90 cho CFI/TLI là quy ước cũ, xuất phát từ nhận xét của Bentler &amp; Bonett (1980) về NFI và TLI. Không có "luật vàng": báo cáo nhiều chỉ số cùng lúc và giải thích theo bối cảnh.</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Chỉ số</w:t>
            </w:r>
          </w:p>
        </w:tc>
        <w:tc>
          <w:tcPr>
            <w:tcW w:type="dxa" w:w="2880"/>
          </w:tcPr>
          <w:p>
            <w:r/>
            <w:r>
              <w:rPr>
                <w:b/>
              </w:rPr>
              <w:t>Ngưỡng</w:t>
            </w:r>
          </w:p>
        </w:tc>
        <w:tc>
          <w:tcPr>
            <w:tcW w:type="dxa" w:w="2880"/>
          </w:tcPr>
          <w:p>
            <w:r/>
            <w:r>
              <w:rPr>
                <w:b/>
              </w:rPr>
              <w:t>Nguồn</w:t>
            </w:r>
          </w:p>
        </w:tc>
      </w:tr>
      <w:tr>
        <w:tc>
          <w:tcPr>
            <w:tcW w:type="dxa" w:w="2880"/>
          </w:tcPr>
          <w:p>
            <w:r>
              <w:t>χ²/df (CMIN/df)</w:t>
            </w:r>
          </w:p>
        </w:tc>
        <w:tc>
          <w:tcPr>
            <w:tcW w:type="dxa" w:w="2880"/>
          </w:tcPr>
          <w:p>
            <w:r>
              <w:t>≤ 3 hay gặp; ≤ 5 là mức lỏng</w:t>
            </w:r>
          </w:p>
        </w:tc>
        <w:tc>
          <w:tcPr>
            <w:tcW w:type="dxa" w:w="2880"/>
          </w:tcPr>
          <w:p>
            <w:r>
              <w:t>Quy ước</w:t>
            </w:r>
          </w:p>
        </w:tc>
      </w:tr>
      <w:tr>
        <w:tc>
          <w:tcPr>
            <w:tcW w:type="dxa" w:w="2880"/>
          </w:tcPr>
          <w:p>
            <w:r>
              <w:t>CFI</w:t>
            </w:r>
          </w:p>
        </w:tc>
        <w:tc>
          <w:tcPr>
            <w:tcW w:type="dxa" w:w="2880"/>
          </w:tcPr>
          <w:p>
            <w:r>
              <w:t>≥ 0,95 (Hu &amp; Bentler, 1999); ≥ 0,90 là mức truyền thống</w:t>
            </w:r>
          </w:p>
        </w:tc>
        <w:tc>
          <w:tcPr>
            <w:tcW w:type="dxa" w:w="2880"/>
          </w:tcPr>
          <w:p>
            <w:r>
              <w:t>Hu &amp; Bentler (1999); Lance và cộng sự (2006); Marsh và cộng sự (2004)</w:t>
            </w:r>
          </w:p>
        </w:tc>
      </w:tr>
      <w:tr>
        <w:tc>
          <w:tcPr>
            <w:tcW w:type="dxa" w:w="2880"/>
          </w:tcPr>
          <w:p>
            <w:r>
              <w:t>TLI (NNFI)</w:t>
            </w:r>
          </w:p>
        </w:tc>
        <w:tc>
          <w:tcPr>
            <w:tcW w:type="dxa" w:w="2880"/>
          </w:tcPr>
          <w:p>
            <w:r>
              <w:t>≥ 0,95 (Hu &amp; Bentler, 1999); ≥ 0,90 là mức truyền thống</w:t>
            </w:r>
          </w:p>
        </w:tc>
        <w:tc>
          <w:tcPr>
            <w:tcW w:type="dxa" w:w="2880"/>
          </w:tcPr>
          <w:p>
            <w:r>
              <w:t>Hu &amp; Bentler (1999); Bentler &amp; Bonett (1980)</w:t>
            </w:r>
          </w:p>
        </w:tc>
      </w:tr>
      <w:tr>
        <w:tc>
          <w:tcPr>
            <w:tcW w:type="dxa" w:w="2880"/>
          </w:tcPr>
          <w:p>
            <w:r>
              <w:t>RMSEA</w:t>
            </w:r>
          </w:p>
        </w:tc>
        <w:tc>
          <w:tcPr>
            <w:tcW w:type="dxa" w:w="2880"/>
          </w:tcPr>
          <w:p>
            <w:r>
              <w:t>≤ 0,06 (Hu &amp; Bentler, 1999); ≤ 0,05 tốt, 0,05–0,08 chấp nhận được, 0,08–0,10 tầm thường, &gt; 0,10 kém (MacCallum và cộng sự, 1996)</w:t>
            </w:r>
          </w:p>
        </w:tc>
        <w:tc>
          <w:tcPr>
            <w:tcW w:type="dxa" w:w="2880"/>
          </w:tcPr>
          <w:p>
            <w:r>
              <w:t>Hu &amp; Bentler (1999); MacCallum và cộng sự (1996)</w:t>
            </w:r>
          </w:p>
        </w:tc>
      </w:tr>
      <w:tr>
        <w:tc>
          <w:tcPr>
            <w:tcW w:type="dxa" w:w="2880"/>
          </w:tcPr>
          <w:p>
            <w:r>
              <w:t>SRMR</w:t>
            </w:r>
          </w:p>
        </w:tc>
        <w:tc>
          <w:tcPr>
            <w:tcW w:type="dxa" w:w="2880"/>
          </w:tcPr>
          <w:p>
            <w:r>
              <w:t>≤ 0,08 (Hu &amp; Bentler, 1999)</w:t>
            </w:r>
          </w:p>
        </w:tc>
        <w:tc>
          <w:tcPr>
            <w:tcW w:type="dxa" w:w="2880"/>
          </w:tcPr>
          <w:p>
            <w:r>
              <w:t>Hu &amp; Bentler (1999)</w:t>
            </w:r>
          </w:p>
        </w:tc>
      </w:tr>
      <w:tr>
        <w:tc>
          <w:tcPr>
            <w:tcW w:type="dxa" w:w="2880"/>
          </w:tcPr>
          <w:p>
            <w:r>
              <w:t>GFI, AGFI</w:t>
            </w:r>
          </w:p>
        </w:tc>
        <w:tc>
          <w:tcPr>
            <w:tcW w:type="dxa" w:w="2880"/>
          </w:tcPr>
          <w:p>
            <w:r>
              <w:t>≥ 0,90 là mức truyền thống; không nằm trong nhóm chỉ số Hu &amp; Bentler (1999) đề xuất ngưỡng</w:t>
            </w:r>
          </w:p>
        </w:tc>
        <w:tc>
          <w:tcPr>
            <w:tcW w:type="dxa" w:w="2880"/>
          </w:tcPr>
          <w:p>
            <w:r>
              <w:t>Hu &amp; Bentler (1999); Lance và cộng sự (2006)</w:t>
            </w:r>
          </w:p>
        </w:tc>
      </w:tr>
    </w:tbl>
    <w:p>
      <w:pPr>
        <w:pStyle w:val="Heading1"/>
      </w:pPr>
      <w:r>
        <w:t>PLS-SEM, mô hình đo lường: outer loading, AVE, HTMT bao nhiêu là đạt?</w:t>
      </w:r>
    </w:p>
    <w:p>
      <w:r>
        <w:t>Với mô hình đo lường kết quả (reflective) trong PLS-SEM: hệ số tải ngoài ≥ 0,708, độ tin cậy 0,70–0,95, AVE ≥ 0,50, và giá trị phân biệt đánh giá bằng HTMT &lt; 0,85 (hoặc &lt; 0,90 khi hai khái niệm gần nghĩa). Tiêu chí Fornell–Larcker vẫn hay được báo cáo nhưng không còn được khuyên dùng làm tiêu chí chính.</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Chỉ số</w:t>
            </w:r>
          </w:p>
        </w:tc>
        <w:tc>
          <w:tcPr>
            <w:tcW w:type="dxa" w:w="2880"/>
          </w:tcPr>
          <w:p>
            <w:r/>
            <w:r>
              <w:rPr>
                <w:b/>
              </w:rPr>
              <w:t>Ngưỡng</w:t>
            </w:r>
          </w:p>
        </w:tc>
        <w:tc>
          <w:tcPr>
            <w:tcW w:type="dxa" w:w="2880"/>
          </w:tcPr>
          <w:p>
            <w:r/>
            <w:r>
              <w:rPr>
                <w:b/>
              </w:rPr>
              <w:t>Nguồn</w:t>
            </w:r>
          </w:p>
        </w:tc>
      </w:tr>
      <w:tr>
        <w:tc>
          <w:tcPr>
            <w:tcW w:type="dxa" w:w="2880"/>
          </w:tcPr>
          <w:p>
            <w:r>
              <w:t>Hệ số tải ngoài (outer loading)</w:t>
            </w:r>
          </w:p>
        </w:tc>
        <w:tc>
          <w:tcPr>
            <w:tcW w:type="dxa" w:w="2880"/>
          </w:tcPr>
          <w:p>
            <w:r>
              <w:t>≥ 0,708 (khái niệm giải thích trên 50% phương sai của biến); 0,40–0,708 chỉ loại khi việc loại làm CR hoặc AVE vượt ngưỡng; &lt; 0,40 luôn loại</w:t>
            </w:r>
          </w:p>
        </w:tc>
        <w:tc>
          <w:tcPr>
            <w:tcW w:type="dxa" w:w="2880"/>
          </w:tcPr>
          <w:p>
            <w:r>
              <w:t>Hair và cộng sự (2021); Hair và cộng sự (2019)</w:t>
            </w:r>
          </w:p>
        </w:tc>
      </w:tr>
      <w:tr>
        <w:tc>
          <w:tcPr>
            <w:tcW w:type="dxa" w:w="2880"/>
          </w:tcPr>
          <w:p>
            <w:r>
              <w:t>Độ tin cậy (α, ρA, ρc)</w:t>
            </w:r>
          </w:p>
        </w:tc>
        <w:tc>
          <w:tcPr>
            <w:tcW w:type="dxa" w:w="2880"/>
          </w:tcPr>
          <w:p>
            <w:r>
              <w:t>≥ 0,70 (0,60 khám phá), khuyến nghị 0,80–0,90, tối đa 0,95; có thể kiểm định bằng khoảng tin cậy bootstrap</w:t>
            </w:r>
          </w:p>
        </w:tc>
        <w:tc>
          <w:tcPr>
            <w:tcW w:type="dxa" w:w="2880"/>
          </w:tcPr>
          <w:p>
            <w:r>
              <w:t>Hair và cộng sự (2021); Hair và cộng sự (2019)</w:t>
            </w:r>
          </w:p>
        </w:tc>
      </w:tr>
      <w:tr>
        <w:tc>
          <w:tcPr>
            <w:tcW w:type="dxa" w:w="2880"/>
          </w:tcPr>
          <w:p>
            <w:r>
              <w:t>AVE (phương sai trung bình được trích)</w:t>
            </w:r>
          </w:p>
        </w:tc>
        <w:tc>
          <w:tcPr>
            <w:tcW w:type="dxa" w:w="2880"/>
          </w:tcPr>
          <w:p>
            <w:r>
              <w:t>≥ 0,50</w:t>
            </w:r>
          </w:p>
        </w:tc>
        <w:tc>
          <w:tcPr>
            <w:tcW w:type="dxa" w:w="2880"/>
          </w:tcPr>
          <w:p>
            <w:r>
              <w:t>Fornell &amp; Larcker (1981); Hair và cộng sự (2021)</w:t>
            </w:r>
          </w:p>
        </w:tc>
      </w:tr>
      <w:tr>
        <w:tc>
          <w:tcPr>
            <w:tcW w:type="dxa" w:w="2880"/>
          </w:tcPr>
          <w:p>
            <w:r>
              <w:t>Fornell–Larcker</w:t>
            </w:r>
          </w:p>
        </w:tc>
        <w:tc>
          <w:tcPr>
            <w:tcW w:type="dxa" w:w="2880"/>
          </w:tcPr>
          <w:p>
            <w:r>
              <w:t>Căn bậc hai AVE của mỗi khái niệm lớn hơn tương quan của nó với mọi khái niệm khác</w:t>
            </w:r>
          </w:p>
        </w:tc>
        <w:tc>
          <w:tcPr>
            <w:tcW w:type="dxa" w:w="2880"/>
          </w:tcPr>
          <w:p>
            <w:r>
              <w:t>Fornell &amp; Larcker (1981); Henseler và cộng sự (2015); Hair và cộng sự (2021)</w:t>
            </w:r>
          </w:p>
        </w:tc>
      </w:tr>
      <w:tr>
        <w:tc>
          <w:tcPr>
            <w:tcW w:type="dxa" w:w="2880"/>
          </w:tcPr>
          <w:p>
            <w:r>
              <w:t>HTMT</w:t>
            </w:r>
          </w:p>
        </w:tc>
        <w:tc>
          <w:tcPr>
            <w:tcW w:type="dxa" w:w="2880"/>
          </w:tcPr>
          <w:p>
            <w:r>
              <w:t>&lt; 0,85 khi hai khái niệm khác biệt rõ; &lt; 0,90 khi gần nghĩa (ví dụ hài lòng nhận thức và hài lòng cảm xúc). Kiểm định: cận trên khoảng tin cậy bootstrap 95% một phía nhỏ hơn ngưỡng</w:t>
            </w:r>
          </w:p>
        </w:tc>
        <w:tc>
          <w:tcPr>
            <w:tcW w:type="dxa" w:w="2880"/>
          </w:tcPr>
          <w:p>
            <w:r>
              <w:t>Henseler và cộng sự (2015); Hair và cộng sự (2021); Hair và cộng sự (2019)</w:t>
            </w:r>
          </w:p>
        </w:tc>
      </w:tr>
    </w:tbl>
    <w:p>
      <w:pPr>
        <w:pStyle w:val="Heading1"/>
      </w:pPr>
      <w:r>
        <w:t>PLS-SEM, mô hình cấu trúc: VIF, R², f², Q², PLSpredict bao nhiêu là đạt?</w:t>
      </w:r>
    </w:p>
    <w:p>
      <w:r>
        <w:t>Trong mô hình cấu trúc PLS-SEM: VIF nên dưới 3 (từ 5 là cộng tuyến nghiêm trọng), hệ số đường dẫn có ý nghĩa khi |t| &gt; 1,96 hoặc khoảng tin cậy bootstrap 95% không chứa 0, R² 0,25/0,50/0,75 là yếu/trung bình/mạnh, f² 0,02/0,15/0,35 là nhỏ/vừa/lớn và Q² &gt; 0 cho thấy có khả năng dự báo.</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Chỉ số</w:t>
            </w:r>
          </w:p>
        </w:tc>
        <w:tc>
          <w:tcPr>
            <w:tcW w:type="dxa" w:w="2880"/>
          </w:tcPr>
          <w:p>
            <w:r/>
            <w:r>
              <w:rPr>
                <w:b/>
              </w:rPr>
              <w:t>Ngưỡng</w:t>
            </w:r>
          </w:p>
        </w:tc>
        <w:tc>
          <w:tcPr>
            <w:tcW w:type="dxa" w:w="2880"/>
          </w:tcPr>
          <w:p>
            <w:r/>
            <w:r>
              <w:rPr>
                <w:b/>
              </w:rPr>
              <w:t>Nguồn</w:t>
            </w:r>
          </w:p>
        </w:tc>
      </w:tr>
      <w:tr>
        <w:tc>
          <w:tcPr>
            <w:tcW w:type="dxa" w:w="2880"/>
          </w:tcPr>
          <w:p>
            <w:r>
              <w:t>VIF giữa các biến tiềm ẩn (inner VIF)</w:t>
            </w:r>
          </w:p>
        </w:tc>
        <w:tc>
          <w:tcPr>
            <w:tcW w:type="dxa" w:w="2880"/>
          </w:tcPr>
          <w:p>
            <w:r>
              <w:t>&lt; 3 lý tưởng; 3–5 có thể có cộng tuyến; ≥ 5 cộng tuyến nghiêm trọng</w:t>
            </w:r>
          </w:p>
        </w:tc>
        <w:tc>
          <w:tcPr>
            <w:tcW w:type="dxa" w:w="2880"/>
          </w:tcPr>
          <w:p>
            <w:r>
              <w:t>Hair và cộng sự (2019); Hair và cộng sự (2021)</w:t>
            </w:r>
          </w:p>
        </w:tc>
      </w:tr>
      <w:tr>
        <w:tc>
          <w:tcPr>
            <w:tcW w:type="dxa" w:w="2880"/>
          </w:tcPr>
          <w:p>
            <w:r>
              <w:t>Hệ số đường dẫn và bootstrapping</w:t>
            </w:r>
          </w:p>
        </w:tc>
        <w:tc>
          <w:tcPr>
            <w:tcW w:type="dxa" w:w="2880"/>
          </w:tcPr>
          <w:p>
            <w:r>
              <w:t>Có ý nghĩa khi |t| &gt; 1,96 (α = 0,05, hai phía) hoặc khoảng tin cậy 95% (phương pháp percentile) không chứa 0; Hair và cộng sự (2021) khuyên dùng 10.000 mẫu bootstrap</w:t>
            </w:r>
          </w:p>
        </w:tc>
        <w:tc>
          <w:tcPr>
            <w:tcW w:type="dxa" w:w="2880"/>
          </w:tcPr>
          <w:p>
            <w:r>
              <w:t>Hair và cộng sự (2021); Streukens &amp; Leroi-Werelds (2016); Hair và cộng sự (2019)</w:t>
            </w:r>
          </w:p>
        </w:tc>
      </w:tr>
      <w:tr>
        <w:tc>
          <w:tcPr>
            <w:tcW w:type="dxa" w:w="2880"/>
          </w:tcPr>
          <w:p>
            <w:r>
              <w:t>R²</w:t>
            </w:r>
          </w:p>
        </w:tc>
        <w:tc>
          <w:tcPr>
            <w:tcW w:type="dxa" w:w="2880"/>
          </w:tcPr>
          <w:p>
            <w:r>
              <w:t>0,75 / 0,50 / 0,25 là mạnh / trung bình / yếu trong nhiều ngành khoa học xã hội; ở một số lĩnh vực 0,10 đã thoả đáng; ≥ 0,90 với thái độ, hành vi thường là dấu hiệu quá khớp</w:t>
            </w:r>
          </w:p>
        </w:tc>
        <w:tc>
          <w:tcPr>
            <w:tcW w:type="dxa" w:w="2880"/>
          </w:tcPr>
          <w:p>
            <w:r>
              <w:t>Hair, Ringle &amp; Sarstedt (2011); Hair và cộng sự (2021); Hair và cộng sự (2019)</w:t>
            </w:r>
          </w:p>
        </w:tc>
      </w:tr>
      <w:tr>
        <w:tc>
          <w:tcPr>
            <w:tcW w:type="dxa" w:w="2880"/>
          </w:tcPr>
          <w:p>
            <w:r>
              <w:t>f² (effect size)</w:t>
            </w:r>
          </w:p>
        </w:tc>
        <w:tc>
          <w:tcPr>
            <w:tcW w:type="dxa" w:w="2880"/>
          </w:tcPr>
          <w:p>
            <w:r>
              <w:t>0,02 / 0,15 / 0,35 là nhỏ / vừa / lớn</w:t>
            </w:r>
          </w:p>
        </w:tc>
        <w:tc>
          <w:tcPr>
            <w:tcW w:type="dxa" w:w="2880"/>
          </w:tcPr>
          <w:p>
            <w:r>
              <w:t>Cohen (1988); Hair và cộng sự (2019)</w:t>
            </w:r>
          </w:p>
        </w:tc>
      </w:tr>
      <w:tr>
        <w:tc>
          <w:tcPr>
            <w:tcW w:type="dxa" w:w="2880"/>
          </w:tcPr>
          <w:p>
            <w:r>
              <w:t>Q² (blindfolding, Stone–Geisser)</w:t>
            </w:r>
          </w:p>
        </w:tc>
        <w:tc>
          <w:tcPr>
            <w:tcW w:type="dxa" w:w="2880"/>
          </w:tcPr>
          <w:p>
            <w:r>
              <w:t>&gt; 0 là có khả năng dự báo; 0 / 0,25 / 0,50 là nhỏ / vừa / lớn</w:t>
            </w:r>
          </w:p>
        </w:tc>
        <w:tc>
          <w:tcPr>
            <w:tcW w:type="dxa" w:w="2880"/>
          </w:tcPr>
          <w:p>
            <w:r>
              <w:t>Hair và cộng sự (2019); Stone (1974)</w:t>
            </w:r>
          </w:p>
        </w:tc>
      </w:tr>
      <w:tr>
        <w:tc>
          <w:tcPr>
            <w:tcW w:type="dxa" w:w="2880"/>
          </w:tcPr>
          <w:p>
            <w:r>
              <w:t>PLSpredict</w:t>
            </w:r>
          </w:p>
        </w:tc>
        <w:tc>
          <w:tcPr>
            <w:tcW w:type="dxa" w:w="2880"/>
          </w:tcPr>
          <w:p>
            <w:r>
              <w:t>Q²predict &gt; 0; so RMSE (hoặc MAE) từng biến của khái niệm mục tiêu với mô hình hồi quy tuyến tính (LM): thấp hơn ở tất cả biến là dự báo cao, ở đa số là trung bình, ở thiểu số là thấp, không biến nào là không có khả năng dự báo. Dùng k = 10, lặp 10 lần</w:t>
            </w:r>
          </w:p>
        </w:tc>
        <w:tc>
          <w:tcPr>
            <w:tcW w:type="dxa" w:w="2880"/>
          </w:tcPr>
          <w:p>
            <w:r>
              <w:t>Shmueli và cộng sự (2019); Hair và cộng sự (2021)</w:t>
            </w:r>
          </w:p>
        </w:tc>
      </w:tr>
      <w:tr>
        <w:tc>
          <w:tcPr>
            <w:tcW w:type="dxa" w:w="2880"/>
          </w:tcPr>
          <w:p>
            <w:r>
              <w:t>SRMR trong PLS-SEM</w:t>
            </w:r>
          </w:p>
        </w:tc>
        <w:tc>
          <w:tcPr>
            <w:tcW w:type="dxa" w:w="2880"/>
          </w:tcPr>
          <w:p>
            <w:r>
              <w:t>&lt; 0,08 hay được báo cáo, nhưng Hair và cộng sự (2019) lưu ý mọi ngưỡng phù hợp mô hình cho PLS-SEM còn rất tạm thời</w:t>
            </w:r>
          </w:p>
        </w:tc>
        <w:tc>
          <w:tcPr>
            <w:tcW w:type="dxa" w:w="2880"/>
          </w:tcPr>
          <w:p>
            <w:r>
              <w:t>Hair và cộng sự (2019)</w:t>
            </w:r>
          </w:p>
        </w:tc>
      </w:tr>
    </w:tbl>
    <w:p>
      <w:pPr>
        <w:pStyle w:val="Heading1"/>
      </w:pPr>
      <w:r>
        <w:t>Hồi quy tuyến tính: VIF, Durbin–Watson, phân phối chuẩn, R² bao nhiêu là đạt?</w:t>
      </w:r>
    </w:p>
    <w:p>
      <w:r>
        <w:t>Trong hồi quy bội, VIF dưới 10 (tolerance trên 0,10) là quy ước lỏng, dưới 5 là chặt hơn; Durbin–Watson gần 2 là không có tự tương quan nhưng chỉ có ý nghĩa với dữ liệu có thứ tự thời gian; phân phối chuẩn kiểm tra trên phần dư; và R² không có mốc đạt chung.</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Chỉ số</w:t>
            </w:r>
          </w:p>
        </w:tc>
        <w:tc>
          <w:tcPr>
            <w:tcW w:type="dxa" w:w="2880"/>
          </w:tcPr>
          <w:p>
            <w:r/>
            <w:r>
              <w:rPr>
                <w:b/>
              </w:rPr>
              <w:t>Ngưỡng</w:t>
            </w:r>
          </w:p>
        </w:tc>
        <w:tc>
          <w:tcPr>
            <w:tcW w:type="dxa" w:w="2880"/>
          </w:tcPr>
          <w:p>
            <w:r/>
            <w:r>
              <w:rPr>
                <w:b/>
              </w:rPr>
              <w:t>Nguồn</w:t>
            </w:r>
          </w:p>
        </w:tc>
      </w:tr>
      <w:tr>
        <w:tc>
          <w:tcPr>
            <w:tcW w:type="dxa" w:w="2880"/>
          </w:tcPr>
          <w:p>
            <w:r>
              <w:t>VIF / Tolerance</w:t>
            </w:r>
          </w:p>
        </w:tc>
        <w:tc>
          <w:tcPr>
            <w:tcW w:type="dxa" w:w="2880"/>
          </w:tcPr>
          <w:p>
            <w:r>
              <w:t>VIF  0,10) là quy ước phổ biến; VIF &lt; 4 hoặc &lt; 5 là quy ước chặt hơn</w:t>
            </w:r>
          </w:p>
        </w:tc>
        <w:tc>
          <w:tcPr>
            <w:tcW w:type="dxa" w:w="2880"/>
          </w:tcPr>
          <w:p>
            <w:r>
              <w:t>O'Brien (2007)</w:t>
            </w:r>
          </w:p>
        </w:tc>
      </w:tr>
      <w:tr>
        <w:tc>
          <w:tcPr>
            <w:tcW w:type="dxa" w:w="2880"/>
          </w:tcPr>
          <w:p>
            <w:r>
              <w:t>Durbin–Watson</w:t>
            </w:r>
          </w:p>
        </w:tc>
        <w:tc>
          <w:tcPr>
            <w:tcW w:type="dxa" w:w="2880"/>
          </w:tcPr>
          <w:p>
            <w:r>
              <w:t>Gần 2 là không có tự tương quan bậc một; kiểm định đúng là so d với cận dL và dU trong bảng Durbin–Watson theo n và số biến</w:t>
            </w:r>
          </w:p>
        </w:tc>
        <w:tc>
          <w:tcPr>
            <w:tcW w:type="dxa" w:w="2880"/>
          </w:tcPr>
          <w:p>
            <w:r>
              <w:t>Durbin &amp; Watson (1950); Durbin &amp; Watson (1951)</w:t>
            </w:r>
          </w:p>
        </w:tc>
      </w:tr>
      <w:tr>
        <w:tc>
          <w:tcPr>
            <w:tcW w:type="dxa" w:w="2880"/>
          </w:tcPr>
          <w:p>
            <w:r>
              <w:t>Phân phối chuẩn của phần dư (skewness, kurtosis)</w:t>
            </w:r>
          </w:p>
        </w:tc>
        <w:tc>
          <w:tcPr>
            <w:tcW w:type="dxa" w:w="2880"/>
          </w:tcPr>
          <w:p>
            <w:r>
              <w:t>n &lt; 50: |z| &lt; 1,96; 50 ≤ n &lt; 300: |z| &lt; 3,29; n ≥ 300: |skewness| &lt; 2 và |kurtosis| &lt; 7</w:t>
            </w:r>
          </w:p>
        </w:tc>
        <w:tc>
          <w:tcPr>
            <w:tcW w:type="dxa" w:w="2880"/>
          </w:tcPr>
          <w:p>
            <w:r>
              <w:t>Kim (2013)</w:t>
            </w:r>
          </w:p>
        </w:tc>
      </w:tr>
      <w:tr>
        <w:tc>
          <w:tcPr>
            <w:tcW w:type="dxa" w:w="2880"/>
          </w:tcPr>
          <w:p>
            <w:r>
              <w:t>R² và R² hiệu chỉnh</w:t>
            </w:r>
          </w:p>
        </w:tc>
        <w:tc>
          <w:tcPr>
            <w:tcW w:type="dxa" w:w="2880"/>
          </w:tcPr>
          <w:p>
            <w:r>
              <w:t>Không có mốc đạt chung. Quy đổi từ f² của Cohen: R² ≈ 0,02 / 0,13 / 0,26 là nhỏ / vừa / lớn</w:t>
            </w:r>
          </w:p>
        </w:tc>
        <w:tc>
          <w:tcPr>
            <w:tcW w:type="dxa" w:w="2880"/>
          </w:tcPr>
          <w:p>
            <w:r>
              <w:t>Cohen (1992); Hair và cộng sự (2021)</w:t>
            </w:r>
          </w:p>
        </w:tc>
      </w:tr>
    </w:tbl>
    <w:p>
      <w:pPr>
        <w:pStyle w:val="Heading1"/>
      </w:pPr>
      <w:r>
        <w:t>Effect size: Cohen's d, η², f², r bao nhiêu là nhỏ, vừa, lớn?</w:t>
      </w:r>
    </w:p>
    <w:p>
      <w:r>
        <w:t>Mốc của Cohen: d = 0,20 / 0,50 / 0,80, r = 0,10 / 0,30 / 0,50, f² = 0,02 / 0,15 / 0,35, η² ≈ 0,01 / 0,06 / 0,14 là nhỏ / vừa / lớn. Chính Cohen coi đây là mốc dự phòng khi lĩnh vực chưa có chuẩn riêng; ưu tiên so với các nghiên cứu cùng chủ đề.</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Chỉ số</w:t>
            </w:r>
          </w:p>
        </w:tc>
        <w:tc>
          <w:tcPr>
            <w:tcW w:type="dxa" w:w="2880"/>
          </w:tcPr>
          <w:p>
            <w:r/>
            <w:r>
              <w:rPr>
                <w:b/>
              </w:rPr>
              <w:t>Ngưỡng</w:t>
            </w:r>
          </w:p>
        </w:tc>
        <w:tc>
          <w:tcPr>
            <w:tcW w:type="dxa" w:w="2880"/>
          </w:tcPr>
          <w:p>
            <w:r/>
            <w:r>
              <w:rPr>
                <w:b/>
              </w:rPr>
              <w:t>Nguồn</w:t>
            </w:r>
          </w:p>
        </w:tc>
      </w:tr>
      <w:tr>
        <w:tc>
          <w:tcPr>
            <w:tcW w:type="dxa" w:w="2880"/>
          </w:tcPr>
          <w:p>
            <w:r>
              <w:t>Cohen's d</w:t>
            </w:r>
          </w:p>
        </w:tc>
        <w:tc>
          <w:tcPr>
            <w:tcW w:type="dxa" w:w="2880"/>
          </w:tcPr>
          <w:p>
            <w:r>
              <w:t>0,20 / 0,50 / 0,80 là nhỏ / vừa / lớn</w:t>
            </w:r>
          </w:p>
        </w:tc>
        <w:tc>
          <w:tcPr>
            <w:tcW w:type="dxa" w:w="2880"/>
          </w:tcPr>
          <w:p>
            <w:r>
              <w:t>Cohen (1992); Lakens (2013)</w:t>
            </w:r>
          </w:p>
        </w:tc>
      </w:tr>
      <w:tr>
        <w:tc>
          <w:tcPr>
            <w:tcW w:type="dxa" w:w="2880"/>
          </w:tcPr>
          <w:p>
            <w:r>
              <w:t>Hệ số tương quan r</w:t>
            </w:r>
          </w:p>
        </w:tc>
        <w:tc>
          <w:tcPr>
            <w:tcW w:type="dxa" w:w="2880"/>
          </w:tcPr>
          <w:p>
            <w:r>
              <w:t>Cohen: 0,10 / 0,30 / 0,50. Funder &amp; Ozer (2019): 0,05 rất nhỏ, 0,10 nhỏ, 0,20 vừa, 0,30 lớn, ≥ 0,40 rất lớn (và thường là ước lượng quá cao)</w:t>
            </w:r>
          </w:p>
        </w:tc>
        <w:tc>
          <w:tcPr>
            <w:tcW w:type="dxa" w:w="2880"/>
          </w:tcPr>
          <w:p>
            <w:r>
              <w:t>Cohen (1992); Funder &amp; Ozer (2019)</w:t>
            </w:r>
          </w:p>
        </w:tc>
      </w:tr>
      <w:tr>
        <w:tc>
          <w:tcPr>
            <w:tcW w:type="dxa" w:w="2880"/>
          </w:tcPr>
          <w:p>
            <w:r>
              <w:t>η² (ANOVA)</w:t>
            </w:r>
          </w:p>
        </w:tc>
        <w:tc>
          <w:tcPr>
            <w:tcW w:type="dxa" w:w="2880"/>
          </w:tcPr>
          <w:p>
            <w:r>
              <w:t>≈ 0,01 / 0,06 / 0,14 là nhỏ / vừa / lớn (quy đổi từ f = 0,10 / 0,25 / 0,40 của Cohen, η² = f² / (1 + f²))</w:t>
            </w:r>
          </w:p>
        </w:tc>
        <w:tc>
          <w:tcPr>
            <w:tcW w:type="dxa" w:w="2880"/>
          </w:tcPr>
          <w:p>
            <w:r>
              <w:t>Cohen (1992); Lakens (2013)</w:t>
            </w:r>
          </w:p>
        </w:tc>
      </w:tr>
      <w:tr>
        <w:tc>
          <w:tcPr>
            <w:tcW w:type="dxa" w:w="2880"/>
          </w:tcPr>
          <w:p>
            <w:r>
              <w:t>f² (hồi quy, PLS-SEM)</w:t>
            </w:r>
          </w:p>
        </w:tc>
        <w:tc>
          <w:tcPr>
            <w:tcW w:type="dxa" w:w="2880"/>
          </w:tcPr>
          <w:p>
            <w:r>
              <w:t>0,02 / 0,15 / 0,35 là nhỏ / vừa / lớn</w:t>
            </w:r>
          </w:p>
        </w:tc>
        <w:tc>
          <w:tcPr>
            <w:tcW w:type="dxa" w:w="2880"/>
          </w:tcPr>
          <w:p>
            <w:r>
              <w:t>Cohen (1992); Cohen (1988)</w:t>
            </w:r>
          </w:p>
        </w:tc>
      </w:tr>
    </w:tbl>
    <w:p>
      <w:pPr>
        <w:pStyle w:val="Heading1"/>
      </w:pPr>
      <w:r>
        <w:t>So sánh nhóm: Levene, Shapiro–Wilk đọc thế nào?</w:t>
      </w:r>
    </w:p>
    <w:p>
      <w:r>
        <w:t>Levene có p &gt; 0,05 thì chưa có bằng chứng phương sai các nhóm khác nhau; p ≤ 0,05 thì đọc dòng Welch. Shapiro–Wilk có p &gt; 0,05 thì không bác bỏ giả định phân phối chuẩn, nhưng với mẫu lớn kiểm định này quá nhạy, nên xem thêm biểu đồ Q-Q.</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Chỉ số</w:t>
            </w:r>
          </w:p>
        </w:tc>
        <w:tc>
          <w:tcPr>
            <w:tcW w:type="dxa" w:w="2880"/>
          </w:tcPr>
          <w:p>
            <w:r/>
            <w:r>
              <w:rPr>
                <w:b/>
              </w:rPr>
              <w:t>Ngưỡng</w:t>
            </w:r>
          </w:p>
        </w:tc>
        <w:tc>
          <w:tcPr>
            <w:tcW w:type="dxa" w:w="2880"/>
          </w:tcPr>
          <w:p>
            <w:r/>
            <w:r>
              <w:rPr>
                <w:b/>
              </w:rPr>
              <w:t>Nguồn</w:t>
            </w:r>
          </w:p>
        </w:tc>
      </w:tr>
      <w:tr>
        <w:tc>
          <w:tcPr>
            <w:tcW w:type="dxa" w:w="2880"/>
          </w:tcPr>
          <w:p>
            <w:r>
              <w:t>Levene (đồng nhất phương sai)</w:t>
            </w:r>
          </w:p>
        </w:tc>
        <w:tc>
          <w:tcPr>
            <w:tcW w:type="dxa" w:w="2880"/>
          </w:tcPr>
          <w:p>
            <w:r>
              <w:t>p &gt; 0,05: dùng dòng "Equal variances assumed"; p ≤ 0,05: dùng dòng Welch ("not assumed") hoặc Welch ANOVA</w:t>
            </w:r>
          </w:p>
        </w:tc>
        <w:tc>
          <w:tcPr>
            <w:tcW w:type="dxa" w:w="2880"/>
          </w:tcPr>
          <w:p>
            <w:r>
              <w:t>Levene (1960); Delacre và cộng sự (2017)</w:t>
            </w:r>
          </w:p>
        </w:tc>
      </w:tr>
      <w:tr>
        <w:tc>
          <w:tcPr>
            <w:tcW w:type="dxa" w:w="2880"/>
          </w:tcPr>
          <w:p>
            <w:r>
              <w:t>Shapiro–Wilk (phân phối chuẩn)</w:t>
            </w:r>
          </w:p>
        </w:tc>
        <w:tc>
          <w:tcPr>
            <w:tcW w:type="dxa" w:w="2880"/>
          </w:tcPr>
          <w:p>
            <w:r>
              <w:t>p &gt; 0,05: không bác bỏ phân phối chuẩn. Mạnh hơn Kolmogorov–Smirnov (kể cả có hiệu chỉnh Lilliefors)</w:t>
            </w:r>
          </w:p>
        </w:tc>
        <w:tc>
          <w:tcPr>
            <w:tcW w:type="dxa" w:w="2880"/>
          </w:tcPr>
          <w:p>
            <w:r>
              <w:t>Shapiro &amp; Wilk (1965); Ghasemi &amp; Zahediasl (2012)</w:t>
            </w:r>
          </w:p>
        </w:tc>
      </w:tr>
    </w:tbl>
    <w:p>
      <w:pPr>
        <w:pStyle w:val="Heading1"/>
      </w:pPr>
      <w:r>
        <w:t>Sai lệch phương pháp chung (CMB): Harman và full collinearity VIF cần đạt gì?</w:t>
      </w:r>
    </w:p>
    <w:p>
      <w:r>
        <w:t>Quy ước phổ biến: nhân tố đầu tiên trong kiểm định Harman giải thích dưới 50% phương sai, và mọi VIF trong kiểm định full collinearity của Kock (2015) không vượt 3,3. Harman là kiểm định yếu và bị phê phán nhiều; nếu dùng PLS-SEM nên báo cáo full collinearity VIF.</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Chỉ số</w:t>
            </w:r>
          </w:p>
        </w:tc>
        <w:tc>
          <w:tcPr>
            <w:tcW w:type="dxa" w:w="2880"/>
          </w:tcPr>
          <w:p>
            <w:r/>
            <w:r>
              <w:rPr>
                <w:b/>
              </w:rPr>
              <w:t>Ngưỡng</w:t>
            </w:r>
          </w:p>
        </w:tc>
        <w:tc>
          <w:tcPr>
            <w:tcW w:type="dxa" w:w="2880"/>
          </w:tcPr>
          <w:p>
            <w:r/>
            <w:r>
              <w:rPr>
                <w:b/>
              </w:rPr>
              <w:t>Nguồn</w:t>
            </w:r>
          </w:p>
        </w:tc>
      </w:tr>
      <w:tr>
        <w:tc>
          <w:tcPr>
            <w:tcW w:type="dxa" w:w="2880"/>
          </w:tcPr>
          <w:p>
            <w:r>
              <w:t>Kiểm định một nhân tố của Harman</w:t>
            </w:r>
          </w:p>
        </w:tc>
        <w:tc>
          <w:tcPr>
            <w:tcW w:type="dxa" w:w="2880"/>
          </w:tcPr>
          <w:p>
            <w:r>
              <w:t>Nhân tố đầu (EFA không xoay, rút một nhân tố) giải thích &lt; 50% tổng phương sai</w:t>
            </w:r>
          </w:p>
        </w:tc>
        <w:tc>
          <w:tcPr>
            <w:tcW w:type="dxa" w:w="2880"/>
          </w:tcPr>
          <w:p>
            <w:r>
              <w:t>Podsakoff &amp; Organ (1986); Podsakoff và cộng sự (2003); Gorrell và cộng sự (2011)</w:t>
            </w:r>
          </w:p>
        </w:tc>
      </w:tr>
      <w:tr>
        <w:tc>
          <w:tcPr>
            <w:tcW w:type="dxa" w:w="2880"/>
          </w:tcPr>
          <w:p>
            <w:r>
              <w:t>Full collinearity VIF</w:t>
            </w:r>
          </w:p>
        </w:tc>
        <w:tc>
          <w:tcPr>
            <w:tcW w:type="dxa" w:w="2880"/>
          </w:tcPr>
          <w:p>
            <w:r>
              <w:t>Mọi VIF ≤ 3,3 thì mô hình được coi là không bị sai lệch phương pháp chung; với thuật toán PLS dạng nhân tố (factor-based), Kock gợi ý ngưỡng có thể cao hơn, đến 5</w:t>
            </w:r>
          </w:p>
        </w:tc>
        <w:tc>
          <w:tcPr>
            <w:tcW w:type="dxa" w:w="2880"/>
          </w:tcPr>
          <w:p>
            <w:r>
              <w:t>Kock (2015); Kock &amp; Lynn (2012)</w:t>
            </w:r>
          </w:p>
        </w:tc>
      </w:tr>
    </w:tbl>
    <w:p>
      <w:pPr>
        <w:pStyle w:val="Heading1"/>
      </w:pPr>
      <w:r>
        <w:t>Tài liệu tham khảo</w:t>
      </w:r>
    </w:p>
    <w:p>
      <w:r>
        <w:t>Bagozzi, R. P., &amp; Yi, Y. (1988). On the evaluation of structural equation models. Journal of the Academy of Marketing Science, 16(1), 74–94. https://doi.org/10.1007/BF02723327</w:t>
      </w:r>
    </w:p>
    <w:p>
      <w:r>
        <w:t>Bartlett, M. S. (1950). Tests of significance in factor analysis. British Journal of Statistical Psychology, 3(2), 77–85. https://doi.org/10.1111/j.2044-8317.1950.tb00285.x</w:t>
      </w:r>
    </w:p>
    <w:p>
      <w:r>
        <w:t>Bentler, P. M., &amp; Bonett, D. G. (1980). Significance tests and goodness of fit in the analysis of covariance structures. Psychological Bulletin, 88(3), 588–606. https://doi.org/10.1037/0033-2909.88.3.588</w:t>
      </w:r>
    </w:p>
    <w:p>
      <w:r>
        <w:t>Cohen, J. (1988). Statistical power analysis for the behavioral sciences (2nd ed.). Lawrence Erlbaum Associates. https://doi.org/10.4324/9780203771587</w:t>
      </w:r>
    </w:p>
    <w:p>
      <w:r>
        <w:t>Cohen, J. (1992). A power primer. Psychological Bulletin, 112(1), 155–159. https://doi.org/10.1037/0033-2909.112.1.155</w:t>
      </w:r>
    </w:p>
    <w:p>
      <w:r>
        <w:t>Costello, A. B., &amp; Osborne, J. W. (2005). Best practices in exploratory factor analysis: Four recommendations for getting the most from your analysis. Practical Assessment, Research, and Evaluation, 10, Article 7. https://doi.org/10.7275/jyj1-4868</w:t>
      </w:r>
    </w:p>
    <w:p>
      <w:r>
        <w:t>Delacre, M., Lakens, D., &amp; Leys, C. (2017). Why psychologists should by default use Welch's t-test instead of Student's t-test. International Review of Social Psychology, 30(1), 92–101. https://doi.org/10.5334/irsp.82</w:t>
      </w:r>
    </w:p>
    <w:p>
      <w:r>
        <w:t>Dijkstra, T. K., &amp; Henseler, J. (2015). Consistent partial least squares path modeling. MIS Quarterly, 39(2), 297–316. https://doi.org/10.25300/MISQ/2015/39.2.02</w:t>
      </w:r>
    </w:p>
    <w:p>
      <w:r>
        <w:t>Durbin, J., &amp; Watson, G. S. (1950). Testing for serial correlation in least squares regression. I. Biometrika, 37(3–4), 409–428. https://doi.org/10.1093/biomet/37.3-4.409</w:t>
      </w:r>
    </w:p>
    <w:p>
      <w:r>
        <w:t>Durbin, J., &amp; Watson, G. S. (1951). Testing for serial correlation in least squares regression. II. Biometrika, 38(1–2), 159–178. https://doi.org/10.1093/biomet/38.1-2.159</w:t>
      </w:r>
    </w:p>
    <w:p>
      <w:r>
        <w:t>Fornell, C., &amp; Larcker, D. F. (1981). Evaluating structural equation models with unobservable variables and measurement error. Journal of Marketing Research, 18(1), 39–50. https://doi.org/10.1177/002224378101800104</w:t>
      </w:r>
    </w:p>
    <w:p>
      <w:r>
        <w:t>Funder, D. C., &amp; Ozer, D. J. (2019). Evaluating effect size in psychological research: Sense and nonsense. Advances in Methods and Practices in Psychological Science, 2(2), 156–168. https://doi.org/10.1177/2515245919847202</w:t>
      </w:r>
    </w:p>
    <w:p>
      <w:r>
        <w:t>Ghasemi, A., &amp; Zahediasl, S. (2012). Normality tests for statistical analysis: A guide for non-statisticians. International Journal of Endocrinology and Metabolism, 10(2), 486–489. https://doi.org/10.5812/ijem.3505</w:t>
      </w:r>
    </w:p>
    <w:p>
      <w:r>
        <w:t>Gorrell, G., Ford, N., Madden, A., Holdridge, P., &amp; Eaglestone, B. (2011). Countering method bias in questionnaire-based user studies. Journal of Documentation, 67(3), 507–524. https://doi.org/10.1108/00220411111124569</w:t>
      </w:r>
    </w:p>
    <w:p>
      <w:r>
        <w:t>Hair, J. F., Jr., Anderson, R. E., Tatham, R. L., &amp; Black, W. C. (1998). Multivariate data analysis (5th ed.). Prentice Hall.</w:t>
      </w:r>
    </w:p>
    <w:p>
      <w:r>
        <w:t>Hair, J. F., Jr., Hult, G. T. M., Ringle, C. M., Sarstedt, M., Danks, N. P., &amp; Ray, S. (2021). Partial least squares structural equation modeling (PLS-SEM) using R: A workbook. Springer (truy cập mở). https://doi.org/10.1007/978-3-030-80519-7</w:t>
      </w:r>
    </w:p>
    <w:p>
      <w:r>
        <w:t>Hair, J. F., Ringle, C. M., &amp; Sarstedt, M. (2011). PLS-SEM: Indeed a silver bullet. Journal of Marketing Theory and Practice, 19(2), 139–152. https://doi.org/10.2753/MTP1069-6679190202</w:t>
      </w:r>
    </w:p>
    <w:p>
      <w:r>
        <w:t>Hair, J. F., Risher, J. J., Sarstedt, M., &amp; Ringle, C. M. (2019). When to use and how to report the results of PLS-SEM. European Business Review, 31(1), 2–24. https://doi.org/10.1108/EBR-11-2018-0203</w:t>
      </w:r>
    </w:p>
    <w:p>
      <w:r>
        <w:t>Hayes, A. F., &amp; Coutts, J. J. (2020). Use omega rather than Cronbach's alpha for estimating reliability. But…. Communication Methods and Measures, 14(1), 1–24. https://doi.org/10.1080/19312458.2020.1718629</w:t>
      </w:r>
    </w:p>
    <w:p>
      <w:r>
        <w:t>Henseler, J., Ringle, C. M., &amp; Sarstedt, M. (2015). A new criterion for assessing discriminant validity in variance-based structural equation modeling. Journal of the Academy of Marketing Science, 43(1), 115–135. https://doi.org/10.1007/s11747-014-0403-8</w:t>
      </w:r>
    </w:p>
    <w:p>
      <w:r>
        <w:t>Horn, J. L. (1965). A rationale and test for the number of factors in factor analysis. Psychometrika, 30(2), 179–185. https://doi.org/10.1007/BF02289447</w:t>
      </w:r>
    </w:p>
    <w:p>
      <w:r>
        <w:t>Hu, L., &amp; Bentler, P. M. (1999). Cutoff criteria for fit indexes in covariance structure analysis: Conventional criteria versus new alternatives. Structural Equation Modeling, 6(1), 1–55. https://doi.org/10.1080/10705519909540118</w:t>
      </w:r>
    </w:p>
    <w:p>
      <w:r>
        <w:t>Kaiser, H. F. (1960). The application of electronic computers to factor analysis. Educational and Psychological Measurement, 20(1), 141–151. https://doi.org/10.1177/001316446002000116</w:t>
      </w:r>
    </w:p>
    <w:p>
      <w:r>
        <w:t>Kaiser, H. F. (1974). An index of factorial simplicity. Psychometrika, 39(1), 31–36. https://doi.org/10.1007/BF02291575</w:t>
      </w:r>
    </w:p>
    <w:p>
      <w:r>
        <w:t>Kaiser, H. F., &amp; Rice, J. (1974). Little Jiffy, Mark IV. Educational and Psychological Measurement, 34(1), 111–117. https://doi.org/10.1177/001316447403400115</w:t>
      </w:r>
    </w:p>
    <w:p>
      <w:r>
        <w:t>Kim, H.-Y. (2013). Statistical notes for clinical researchers: Assessing normal distribution (2) using skewness and kurtosis. Restorative Dentistry &amp; Endodontics, 38(1), 52–54. https://doi.org/10.5395/rde.2013.38.1.52</w:t>
      </w:r>
    </w:p>
    <w:p>
      <w:r>
        <w:t>Kock, N. (2015). Common method bias in PLS-SEM: A full collinearity assessment approach. International Journal of e-Collaboration, 11(4), 1–10. https://doi.org/10.4018/ijec.2015100101</w:t>
      </w:r>
    </w:p>
    <w:p>
      <w:r>
        <w:t>Kock, N., &amp; Lynn, G. S. (2012). Lateral collinearity and misleading results in variance-based SEM: An illustration and recommendations. Journal of the Association for Information Systems, 13(7), 546–580. https://doi.org/10.17705/1jais.00302</w:t>
      </w:r>
    </w:p>
    <w:p>
      <w:r>
        <w:t>Lakens, D. (2013). Calculating and reporting effect sizes to facilitate cumulative science: A practical primer for t-tests and ANOVAs. Frontiers in Psychology, 4, Article 863. https://doi.org/10.3389/fpsyg.2013.00863</w:t>
      </w:r>
    </w:p>
    <w:p>
      <w:r>
        <w:t>Lance, C. E., Butts, M. M., &amp; Michels, L. C. (2006). The sources of four commonly reported cutoff criteria: What did they really say? Organizational Research Methods, 9(2), 202–220. https://doi.org/10.1177/1094428105284919</w:t>
      </w:r>
    </w:p>
    <w:p>
      <w:r>
        <w:t>Levene, H. (1960). Robust tests for equality of variances. In I. Olkin (Ed.), Contributions to probability and statistics: Essays in honor of Harold Hotelling (pp. 278–292). Stanford University Press.</w:t>
      </w:r>
    </w:p>
    <w:p>
      <w:r>
        <w:t>MacCallum, R. C., Browne, M. W., &amp; Sugawara, H. M. (1996). Power analysis and determination of sample size for covariance structure modeling. Psychological Methods, 1(2), 130–149. https://doi.org/10.1037/1082-989X.1.2.130</w:t>
      </w:r>
    </w:p>
    <w:p>
      <w:r>
        <w:t>Marsh, H. W., Hau, K.-T., &amp; Wen, Z. (2004). In search of golden rules: Comment on hypothesis-testing approaches to setting cutoff values for fit indexes and dangers in overgeneralizing Hu and Bentler's (1999) findings. Structural Equation Modeling, 11(3), 320–341. https://doi.org/10.1207/s15328007sem1103_2</w:t>
      </w:r>
    </w:p>
    <w:p>
      <w:r>
        <w:t>McNeish, D. (2018). Thanks coefficient alpha, we'll take it from here. Psychological Methods, 23(3), 412–433. https://doi.org/10.1037/met0000144</w:t>
      </w:r>
    </w:p>
    <w:p>
      <w:r>
        <w:t>O'Brien, R. M. (2007). A caution regarding rules of thumb for variance inflation factors. Quality &amp; Quantity, 41(5), 673–690. https://doi.org/10.1007/s11135-006-9018-6</w:t>
      </w:r>
    </w:p>
    <w:p>
      <w:r>
        <w:t>Podsakoff, P. M., &amp; Organ, D. W. (1986). Self-reports in organizational research: Problems and prospects. Journal of Management, 12(4), 531–544. https://doi.org/10.1177/014920638601200408</w:t>
      </w:r>
    </w:p>
    <w:p>
      <w:r>
        <w:t>Podsakoff, P. M., MacKenzie, S. B., Lee, J.-Y., &amp; Podsakoff, N. P. (2003). Common method biases in behavioral research: A critical review of the literature and recommended remedies. Journal of Applied Psychology, 88(5), 879–903. https://doi.org/10.1037/0021-9010.88.5.879</w:t>
      </w:r>
    </w:p>
    <w:p>
      <w:r>
        <w:t>Shapiro, S. S., &amp; Wilk, M. B. (1965). An analysis of variance test for normality (complete samples). Biometrika, 52(3–4), 591–611. https://doi.org/10.1093/biomet/52.3-4.591</w:t>
      </w:r>
    </w:p>
    <w:p>
      <w:r>
        <w:t>Shmueli, G., Sarstedt, M., Hair, J. F., Cheah, J.-H., Ting, H., Vaithilingam, S., &amp; Ringle, C. M. (2019). Predictive model assessment in PLS-SEM: Guidelines for using PLSpredict. European Journal of Marketing, 53(11), 2322–2347. https://doi.org/10.1108/EJM-02-2019-0189</w:t>
      </w:r>
    </w:p>
    <w:p>
      <w:r>
        <w:t>Stone, M. (1974). Cross-validatory choice and assessment of statistical predictions. Journal of the Royal Statistical Society: Series B (Methodological), 36(2), 111–133. https://doi.org/10.1111/j.2517-6161.1974.tb00994.x</w:t>
      </w:r>
    </w:p>
    <w:p>
      <w:r>
        <w:t>Streukens, S., &amp; Leroi-Werelds, S. (2016). Bootstrapping and PLS-SEM: A step-by-step guide to get more out of your bootstrap results. European Management Journal, 34(6), 618–632. https://doi.org/10.1016/j.emj.2016.06.003</w:t>
      </w:r>
    </w:p>
    <w:p>
      <w:r>
        <w:t>Zwick, W. R., &amp; Velicer, W. F. (1986). Comparison of five rules for determining the number of components to retain. Psychological Bulletin, 99(3), 432–442. https://doi.org/10.1037/0033-2909.99.3.432</w:t>
      </w:r>
    </w:p>
    <w:p>
      <w:r>
        <w:rPr>
          <w:i/>
        </w:rPr>
        <w:t xml:space="preserve">Góc Nghiên Cứu · Tài liệu miễn phí, cập nhật và công cụ đi kèm tại </w:t>
      </w:r>
      <w:r>
        <w:rPr>
          <w:i/>
        </w:rPr>
        <w:t>https://gocnghiencuu.com/tai-lieu/bang-nguong-chi-so/?utm_source=docx&amp;utm_medium=tai-lieu&amp;utm_campaign=bang-nguong-chi-so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